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rPr>
          <w:rFonts w:ascii="Garamond" w:cs="Garamond" w:eastAsia="Garamond" w:hAnsi="Garamond"/>
          <w:b w:val="1"/>
          <w:vertAlign w:val="baseline"/>
        </w:rPr>
      </w:pPr>
      <w:r w:rsidDel="00000000" w:rsidR="00000000" w:rsidRPr="00000000">
        <w:rPr>
          <w:rFonts w:ascii="Garamond" w:cs="Garamond" w:eastAsia="Garamond" w:hAnsi="Garamond"/>
          <w:b w:val="1"/>
          <w:i w:val="1"/>
          <w:vertAlign w:val="baseline"/>
          <w:rtl w:val="0"/>
        </w:rPr>
        <w:t xml:space="preserve">The Crucible</w:t>
      </w:r>
      <w:r w:rsidDel="00000000" w:rsidR="00000000" w:rsidRPr="00000000">
        <w:rPr>
          <w:rFonts w:ascii="Garamond" w:cs="Garamond" w:eastAsia="Garamond" w:hAnsi="Garamond"/>
          <w:b w:val="1"/>
          <w:vertAlign w:val="baseline"/>
          <w:rtl w:val="0"/>
        </w:rPr>
        <w:t xml:space="preserve"> Note-taker: Act Two</w:t>
        <w:tab/>
        <w:tab/>
        <w:t xml:space="preserve">Schmitt LA 5</w:t>
        <w:tab/>
        <w:tab/>
        <w:tab/>
        <w:tab/>
        <w:t xml:space="preserve">      </w:t>
        <w:tab/>
        <w:t xml:space="preserve"> Name: ____________________________________</w:t>
      </w:r>
    </w:p>
    <w:p w:rsidR="00000000" w:rsidDel="00000000" w:rsidP="00000000" w:rsidRDefault="00000000" w:rsidRPr="00000000" w14:paraId="00000001">
      <w:pPr>
        <w:contextualSpacing w:val="0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rPr>
          <w:rFonts w:ascii="Garamond" w:cs="Garamond" w:eastAsia="Garamond" w:hAnsi="Garamond"/>
          <w:b w:val="1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Directions: In the boxes, below, please record the page number and a short explanation to show how each character is depicting each theme. </w:t>
      </w:r>
    </w:p>
    <w:p w:rsidR="00000000" w:rsidDel="00000000" w:rsidP="00000000" w:rsidRDefault="00000000" w:rsidRPr="00000000" w14:paraId="00000003">
      <w:pPr>
        <w:contextualSpacing w:val="0"/>
        <w:rPr>
          <w:rFonts w:ascii="Garamond" w:cs="Garamond" w:eastAsia="Garamond" w:hAnsi="Garamond"/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507.919123841619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455"/>
        <w:gridCol w:w="2325"/>
        <w:gridCol w:w="2678.921651221567"/>
        <w:gridCol w:w="2678.921651221567"/>
        <w:gridCol w:w="2678.921651221567"/>
        <w:gridCol w:w="2691.154170176917"/>
        <w:tblGridChange w:id="0">
          <w:tblGrid>
            <w:gridCol w:w="1455"/>
            <w:gridCol w:w="2325"/>
            <w:gridCol w:w="2678.921651221567"/>
            <w:gridCol w:w="2678.921651221567"/>
            <w:gridCol w:w="2678.921651221567"/>
            <w:gridCol w:w="2691.154170176917"/>
          </w:tblGrid>
        </w:tblGridChange>
      </w:tblGrid>
      <w:tr>
        <w:trPr>
          <w:trHeight w:val="660" w:hRule="atLeast"/>
        </w:trPr>
        <w:tc>
          <w:tcPr>
            <w:vAlign w:val="center"/>
          </w:tcPr>
          <w:p w:rsidR="00000000" w:rsidDel="00000000" w:rsidP="00000000" w:rsidRDefault="00000000" w:rsidRPr="00000000" w14:paraId="00000004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Characters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5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Hysteria (added to or fought against)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6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Power (does or does not have; fears; loves, etc.)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7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Intolerance/Persecution/</w:t>
            </w:r>
          </w:p>
          <w:p w:rsidR="00000000" w:rsidDel="00000000" w:rsidP="00000000" w:rsidRDefault="00000000" w:rsidRPr="00000000" w14:paraId="00000008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Judgement (religious, ethnic, social, etc.)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9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A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Responsibility of</w:t>
            </w:r>
          </w:p>
          <w:p w:rsidR="00000000" w:rsidDel="00000000" w:rsidP="00000000" w:rsidRDefault="00000000" w:rsidRPr="00000000" w14:paraId="0000000B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Individuals as Members of a Community (upheld,</w:t>
            </w:r>
          </w:p>
          <w:p w:rsidR="00000000" w:rsidDel="00000000" w:rsidP="00000000" w:rsidRDefault="00000000" w:rsidRPr="00000000" w14:paraId="0000000C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refused, denied, defined)</w:t>
            </w:r>
          </w:p>
          <w:p w:rsidR="00000000" w:rsidDel="00000000" w:rsidP="00000000" w:rsidRDefault="00000000" w:rsidRPr="00000000" w14:paraId="0000000D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0E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Civil Liberties (rights of</w:t>
              <w:br w:type="textWrapping"/>
              <w:t xml:space="preserve">the people, asserted,</w:t>
              <w:br w:type="textWrapping"/>
              <w:t xml:space="preserve">denied, (in)equalities)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060" w:hRule="atLeast"/>
        </w:trPr>
        <w:tc>
          <w:tcPr>
            <w:vAlign w:val="center"/>
          </w:tcPr>
          <w:p w:rsidR="00000000" w:rsidDel="00000000" w:rsidP="00000000" w:rsidRDefault="00000000" w:rsidRPr="00000000" w14:paraId="0000000F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Elizabeth</w:t>
            </w:r>
          </w:p>
          <w:p w:rsidR="00000000" w:rsidDel="00000000" w:rsidP="00000000" w:rsidRDefault="00000000" w:rsidRPr="00000000" w14:paraId="00000010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Proctor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1">
            <w:pPr>
              <w:contextualSpacing w:val="0"/>
              <w:jc w:val="left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2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3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4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5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160" w:hRule="atLeast"/>
        </w:trPr>
        <w:tc>
          <w:tcPr>
            <w:vAlign w:val="center"/>
          </w:tcPr>
          <w:p w:rsidR="00000000" w:rsidDel="00000000" w:rsidP="00000000" w:rsidRDefault="00000000" w:rsidRPr="00000000" w14:paraId="00000016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Mary Warren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7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8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9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A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1B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C">
      <w:pPr>
        <w:contextualSpacing w:val="0"/>
        <w:rPr>
          <w:rFonts w:ascii="Garamond" w:cs="Garamond" w:eastAsia="Garamond" w:hAnsi="Garamond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contextualSpacing w:val="0"/>
        <w:rPr>
          <w:rFonts w:ascii="Garamond" w:cs="Garamond" w:eastAsia="Garamond" w:hAnsi="Garamond"/>
          <w:b w:val="0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contextualSpacing w:val="0"/>
        <w:rPr>
          <w:rFonts w:ascii="Garamond" w:cs="Garamond" w:eastAsia="Garamond" w:hAnsi="Garamond"/>
          <w:b w:val="0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4505.0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440"/>
        <w:gridCol w:w="2613"/>
        <w:gridCol w:w="2613"/>
        <w:gridCol w:w="2613"/>
        <w:gridCol w:w="2613"/>
        <w:gridCol w:w="2613"/>
        <w:tblGridChange w:id="0">
          <w:tblGrid>
            <w:gridCol w:w="1440"/>
            <w:gridCol w:w="2613"/>
            <w:gridCol w:w="2613"/>
            <w:gridCol w:w="2613"/>
            <w:gridCol w:w="2613"/>
            <w:gridCol w:w="2613"/>
          </w:tblGrid>
        </w:tblGridChange>
      </w:tblGrid>
      <w:tr>
        <w:trPr>
          <w:trHeight w:val="1840" w:hRule="atLeast"/>
        </w:trPr>
        <w:tc>
          <w:tcPr>
            <w:vAlign w:val="center"/>
          </w:tcPr>
          <w:p w:rsidR="00000000" w:rsidDel="00000000" w:rsidP="00000000" w:rsidRDefault="00000000" w:rsidRPr="00000000" w14:paraId="0000001F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Characters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0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Hysteria (added to or fought against)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1">
            <w:pPr>
              <w:contextualSpacing w:val="0"/>
              <w:jc w:val="center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Power (does or does not have; fears; loves, etc.)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2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Intolerance/Persecution/Judgement (religious, ethnic, social, etc.)</w:t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3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Responsibility of</w:t>
            </w:r>
          </w:p>
          <w:p w:rsidR="00000000" w:rsidDel="00000000" w:rsidP="00000000" w:rsidRDefault="00000000" w:rsidRPr="00000000" w14:paraId="00000024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sz w:val="22"/>
                <w:szCs w:val="22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Individuals as Members of a Community (upheld,</w:t>
            </w:r>
          </w:p>
          <w:p w:rsidR="00000000" w:rsidDel="00000000" w:rsidP="00000000" w:rsidRDefault="00000000" w:rsidRPr="00000000" w14:paraId="00000025">
            <w:pPr>
              <w:contextualSpacing w:val="0"/>
              <w:jc w:val="center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refused, denied, defined)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6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sz w:val="22"/>
                <w:szCs w:val="22"/>
                <w:rtl w:val="0"/>
              </w:rPr>
              <w:t xml:space="preserve">Civil Liberties (rights of</w:t>
              <w:br w:type="textWrapping"/>
              <w:t xml:space="preserve">the people, asserted,</w:t>
              <w:br w:type="textWrapping"/>
              <w:t xml:space="preserve">denied, (in)equalities)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380" w:hRule="atLeast"/>
        </w:trPr>
        <w:tc>
          <w:tcPr>
            <w:vAlign w:val="center"/>
          </w:tcPr>
          <w:p w:rsidR="00000000" w:rsidDel="00000000" w:rsidP="00000000" w:rsidRDefault="00000000" w:rsidRPr="00000000" w14:paraId="00000027">
            <w:pPr>
              <w:contextualSpacing w:val="0"/>
              <w:jc w:val="center"/>
              <w:rPr>
                <w:rFonts w:ascii="Garamond" w:cs="Garamond" w:eastAsia="Garamond" w:hAnsi="Garamond"/>
                <w:b w:val="1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rtl w:val="0"/>
              </w:rPr>
              <w:t xml:space="preserve">John Proctor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8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9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A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B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C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80" w:hRule="atLeast"/>
        </w:trPr>
        <w:tc>
          <w:tcPr>
            <w:vAlign w:val="center"/>
          </w:tcPr>
          <w:p w:rsidR="00000000" w:rsidDel="00000000" w:rsidP="00000000" w:rsidRDefault="00000000" w:rsidRPr="00000000" w14:paraId="0000002D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Reverend Hale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E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2F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0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1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2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0" w:hRule="atLeast"/>
        </w:trPr>
        <w:tc>
          <w:tcPr>
            <w:vAlign w:val="center"/>
          </w:tcPr>
          <w:p w:rsidR="00000000" w:rsidDel="00000000" w:rsidP="00000000" w:rsidRDefault="00000000" w:rsidRPr="00000000" w14:paraId="00000033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Ezekiel Cheever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4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5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6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7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8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100" w:hRule="atLeast"/>
        </w:trPr>
        <w:tc>
          <w:tcPr>
            <w:vAlign w:val="center"/>
          </w:tcPr>
          <w:p w:rsidR="00000000" w:rsidDel="00000000" w:rsidP="00000000" w:rsidRDefault="00000000" w:rsidRPr="00000000" w14:paraId="00000039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Fonts w:ascii="Garamond" w:cs="Garamond" w:eastAsia="Garamond" w:hAnsi="Garamond"/>
                <w:b w:val="1"/>
                <w:vertAlign w:val="baseline"/>
                <w:rtl w:val="0"/>
              </w:rPr>
              <w:t xml:space="preserve">Giles Corey and Francis Nurse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A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B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C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D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3E">
            <w:pPr>
              <w:contextualSpacing w:val="0"/>
              <w:jc w:val="center"/>
              <w:rPr>
                <w:rFonts w:ascii="Garamond" w:cs="Garamond" w:eastAsia="Garamond" w:hAnsi="Garamond"/>
                <w:b w:val="0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F">
      <w:pPr>
        <w:contextualSpacing w:val="0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contextualSpacing w:val="0"/>
        <w:rPr>
          <w:rFonts w:ascii="Garamond" w:cs="Garamond" w:eastAsia="Garamond" w:hAnsi="Garamond"/>
        </w:rPr>
      </w:pPr>
      <w:r w:rsidDel="00000000" w:rsidR="00000000" w:rsidRPr="00000000">
        <w:rPr>
          <w:rFonts w:ascii="Garamond" w:cs="Garamond" w:eastAsia="Garamond" w:hAnsi="Garamond"/>
          <w:b w:val="1"/>
          <w:rtl w:val="0"/>
        </w:rPr>
        <w:t xml:space="preserve">Directions:</w:t>
      </w:r>
      <w:r w:rsidDel="00000000" w:rsidR="00000000" w:rsidRPr="00000000">
        <w:rPr>
          <w:rFonts w:ascii="Garamond" w:cs="Garamond" w:eastAsia="Garamond" w:hAnsi="Garamond"/>
          <w:rtl w:val="0"/>
        </w:rPr>
        <w:t xml:space="preserve"> Record the page #, the specific line/section, and an explanation for each of the two literary devices listed, below. </w:t>
      </w:r>
    </w:p>
    <w:p w:rsidR="00000000" w:rsidDel="00000000" w:rsidP="00000000" w:rsidRDefault="00000000" w:rsidRPr="00000000" w14:paraId="00000041">
      <w:pPr>
        <w:contextualSpacing w:val="0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4400.0" w:type="dxa"/>
        <w:jc w:val="left"/>
        <w:tblInd w:w="100.0" w:type="pct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7200"/>
        <w:gridCol w:w="7200"/>
        <w:tblGridChange w:id="0">
          <w:tblGrid>
            <w:gridCol w:w="7200"/>
            <w:gridCol w:w="7200"/>
          </w:tblGrid>
        </w:tblGridChange>
      </w:tblGrid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  <w:color w:val="222222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Symbolism:</w:t>
            </w: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222222"/>
                <w:rtl w:val="0"/>
              </w:rPr>
              <w:t xml:space="preserve">Generally, it is an object representing another, to give an entirely different meaning that is much deeper and more significant.</w:t>
            </w:r>
          </w:p>
          <w:p w:rsidR="00000000" w:rsidDel="00000000" w:rsidP="00000000" w:rsidRDefault="00000000" w:rsidRPr="00000000" w14:paraId="0000004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Motifs: </w:t>
            </w:r>
            <w:r w:rsidDel="00000000" w:rsidR="00000000" w:rsidRPr="00000000">
              <w:rPr>
                <w:rFonts w:ascii="Calibri" w:cs="Calibri" w:eastAsia="Calibri" w:hAnsi="Calibri"/>
                <w:color w:val="333333"/>
                <w:highlight w:val="white"/>
                <w:rtl w:val="0"/>
              </w:rPr>
              <w:t xml:space="preserve">In a literary work, a motif can be seen as an image, sound, action, or other figure that has a symbolic significance, and contributes toward the development of a </w:t>
            </w:r>
            <w:r w:rsidDel="00000000" w:rsidR="00000000" w:rsidRPr="00000000">
              <w:rPr>
                <w:rFonts w:ascii="Calibri" w:cs="Calibri" w:eastAsia="Calibri" w:hAnsi="Calibri"/>
                <w:color w:val="333333"/>
                <w:highlight w:val="white"/>
                <w:rtl w:val="0"/>
              </w:rPr>
              <w:t xml:space="preserve">theme</w:t>
            </w:r>
            <w:r w:rsidDel="00000000" w:rsidR="00000000" w:rsidRPr="00000000">
              <w:rPr>
                <w:rFonts w:ascii="Calibri" w:cs="Calibri" w:eastAsia="Calibri" w:hAnsi="Calibri"/>
                <w:color w:val="333333"/>
                <w:highlight w:val="white"/>
                <w:rtl w:val="0"/>
              </w:rPr>
              <w:t xml:space="preserve">. In a literary piece, this is a recurrent image, idea, or symbol that develops or explains a theme, while a theme is a central idea or message.</w:t>
            </w: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B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6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contextualSpacing w:val="0"/>
              <w:jc w:val="left"/>
              <w:rPr>
                <w:rFonts w:ascii="Garamond" w:cs="Garamond" w:eastAsia="Garamond" w:hAnsi="Garamond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1">
      <w:pPr>
        <w:contextualSpacing w:val="0"/>
        <w:rPr>
          <w:rFonts w:ascii="Garamond" w:cs="Garamond" w:eastAsia="Garamond" w:hAnsi="Garamond"/>
        </w:rPr>
      </w:pPr>
      <w:r w:rsidDel="00000000" w:rsidR="00000000" w:rsidRPr="00000000">
        <w:rPr>
          <w:rtl w:val="0"/>
        </w:rPr>
      </w:r>
    </w:p>
    <w:sectPr>
      <w:pgSz w:h="12240" w:w="15840"/>
      <w:pgMar w:bottom="720" w:top="720" w:left="720" w:right="72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Calibri"/>
  <w:font w:name="Garamond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en-US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Garamond-regular.ttf"/><Relationship Id="rId2" Type="http://schemas.openxmlformats.org/officeDocument/2006/relationships/font" Target="fonts/Garamond-bold.ttf"/><Relationship Id="rId3" Type="http://schemas.openxmlformats.org/officeDocument/2006/relationships/font" Target="fonts/Garamond-italic.ttf"/><Relationship Id="rId4" Type="http://schemas.openxmlformats.org/officeDocument/2006/relationships/font" Target="fonts/Garamond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