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color w:val="330066"/>
          <w:highlight w:val="white"/>
        </w:rPr>
      </w:pPr>
      <w:r w:rsidDel="00000000" w:rsidR="00000000" w:rsidRPr="00000000">
        <w:rPr>
          <w:color w:val="330066"/>
          <w:highlight w:val="white"/>
          <w:rtl w:val="0"/>
        </w:rPr>
        <w:t xml:space="preserve">In 1963 Martin Luther King Jr. was arrested and jailed in Birmingham, Alabama for violating a court order about holding protests in the city. During his time in jail, King wrote a letter explaining why he violated the law.</w:t>
      </w:r>
    </w:p>
    <w:p w:rsidR="00000000" w:rsidDel="00000000" w:rsidP="00000000" w:rsidRDefault="00000000" w:rsidRPr="00000000">
      <w:pPr>
        <w:contextualSpacing w:val="0"/>
        <w:rPr>
          <w:color w:val="330066"/>
          <w:highlight w:val="white"/>
        </w:rPr>
      </w:pPr>
      <w:r w:rsidDel="00000000" w:rsidR="00000000" w:rsidRPr="00000000">
        <w:rPr>
          <w:rtl w:val="0"/>
        </w:rPr>
      </w:r>
    </w:p>
    <w:p w:rsidR="00000000" w:rsidDel="00000000" w:rsidP="00000000" w:rsidRDefault="00000000" w:rsidRPr="00000000">
      <w:pPr>
        <w:contextualSpacing w:val="0"/>
        <w:rPr>
          <w:color w:val="330066"/>
          <w:highlight w:val="white"/>
        </w:rPr>
      </w:pPr>
      <w:r w:rsidDel="00000000" w:rsidR="00000000" w:rsidRPr="00000000">
        <w:rPr>
          <w:color w:val="330066"/>
          <w:highlight w:val="white"/>
          <w:rtl w:val="0"/>
        </w:rPr>
        <w:t xml:space="preserve">Excerpt from </w:t>
      </w:r>
      <w:r w:rsidDel="00000000" w:rsidR="00000000" w:rsidRPr="00000000">
        <w:rPr>
          <w:i w:val="1"/>
          <w:color w:val="330066"/>
          <w:highlight w:val="white"/>
          <w:rtl w:val="0"/>
        </w:rPr>
        <w:t xml:space="preserve">Letter from Birmingham Jail</w:t>
      </w:r>
      <w:r w:rsidDel="00000000" w:rsidR="00000000" w:rsidRPr="00000000">
        <w:rPr>
          <w:color w:val="330066"/>
          <w:highlight w:val="white"/>
          <w:rtl w:val="0"/>
        </w:rPr>
        <w:t xml:space="preserve"> by Martin Luther King, Jr.</w:t>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1.</w:t>
      </w:r>
      <w:r w:rsidDel="00000000" w:rsidR="00000000" w:rsidRPr="00000000">
        <w:rPr>
          <w:rFonts w:ascii="Georgia" w:cs="Georgia" w:eastAsia="Georgia" w:hAnsi="Georgia"/>
          <w:rtl w:val="0"/>
        </w:rPr>
        <w:t xml:space="preserve"> We know through painful experience that freedom is never voluntarily given by the oppressor; it must be demanded by the oppressed. Frankly I have never yet engaged in a direct action movement that was “well timed,” according to the timetable of those who have not suffered unduly from the disease of segregation. For years now I have heard the word “Wait!” It rings in the ear of every Negro with a piercing familiarity. This “wait” has almost always meant “never.” It has been a tranquilizing Thalidomide, relieving the emotional stress for a moment, only to give birth to an ill-formed infant of frustration. We must come to see with the distinguished jurist of yesterday that “justice too long delayed is justice denied.” We have waited for more than 340 years for our Constitutional and God-given rights. The nations of Asia and Africa are moving with jet-like speed toward the goal of political independence, and we still creep at horse and buggy pace toward the gaining of a cup of coffee at a lunch counter.</w:t>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2.</w:t>
      </w:r>
      <w:r w:rsidDel="00000000" w:rsidR="00000000" w:rsidRPr="00000000">
        <w:rPr>
          <w:rFonts w:ascii="Georgia" w:cs="Georgia" w:eastAsia="Georgia" w:hAnsi="Georgia"/>
          <w:rtl w:val="0"/>
        </w:rPr>
        <w:t xml:space="preserve"> I guess it is easy for those who have never felt the stinging darts of segregation to say wait. But when you have seen vicious mobs lynch your mothers and fathers at will and drown your sisters and brothers at whim; when you have seen hate-filled policemen curse, kick, brutalize, and even kill your black brothers and sisters with impunity; when you see the vast majority of your 20 million Negro brothers smothering in an airtight cage of poverty in the midst of an affluent society; when you are harried by day and haunted by night by the fact that you are a Negro, living constantly at tip-toe stance, never quite knowing what to expect next, and plagued with inner fears and outer resentments; when you are forever fighting a degenerating sense of “nobodiness”—then you will understand why we find it difficult to wait. There comes a time when the cup of endurance runs over, and men are no longer willing to be plunged into an abyss of injustice where they experience the bleakness of corroding despair. I hope, sirs, you can understand our legitimate and unavoidable impatience.</w:t>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3.</w:t>
      </w:r>
      <w:r w:rsidDel="00000000" w:rsidR="00000000" w:rsidRPr="00000000">
        <w:rPr>
          <w:rFonts w:ascii="Georgia" w:cs="Georgia" w:eastAsia="Georgia" w:hAnsi="Georgia"/>
          <w:rtl w:val="0"/>
        </w:rPr>
        <w:t xml:space="preserve"> You express a great deal of anxiety over our willingness to break laws. This is certainly a legitimate concern. Since we so diligently urge people to obey the Supreme Court’s decision of 1954 outlawing segregation in the public schools, at first glance it may seem rather paradoxical for us consciously to break laws. One may well ask: “How can you advocate breaking some laws and obeying others?” The answer lies in the fact that there are two types of laws: just and unjust. I would be the first to advocate obeying just laws. One has not only a legal but a moral responsibility to obey just laws. Conversely, one has a moral responsibility to disobey unjust laws. I would agree with Saint Augustine that “an unjust law is no law at all.”</w:t>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4. </w:t>
      </w:r>
      <w:r w:rsidDel="00000000" w:rsidR="00000000" w:rsidRPr="00000000">
        <w:rPr>
          <w:rFonts w:ascii="Georgia" w:cs="Georgia" w:eastAsia="Georgia" w:hAnsi="Georgia"/>
          <w:rtl w:val="0"/>
        </w:rPr>
        <w:t xml:space="preserve">Now, what is the difference between the two? How does one determine whether a law is just or unjust? A just law is a man-made code that squares with the moral law or the law of God. An unjust law is a code that is out of harmony with the moral law. To put it in the terms of Saint Thomas Aquinas: An unjust law is a human law that is not rooted in eternal law and natural law. Any law that uplifts human personality is just. Any law that degrades human personality is unjust. </w:t>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48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5.</w:t>
      </w:r>
      <w:r w:rsidDel="00000000" w:rsidR="00000000" w:rsidRPr="00000000">
        <w:rPr>
          <w:rFonts w:ascii="Georgia" w:cs="Georgia" w:eastAsia="Georgia" w:hAnsi="Georgia"/>
          <w:rtl w:val="0"/>
        </w:rPr>
        <w:t xml:space="preserve"> I submit that an individual who breaks a law that conscience tells him is unjust, and who willingly accepts the penalty of imprisonment in order to arouse the conscience of the community over its injustice, is in reality expressing the highest respect for law.</w:t>
      </w:r>
      <w:r w:rsidDel="00000000" w:rsidR="00000000" w:rsidRPr="00000000">
        <w:rPr>
          <w:rtl w:val="0"/>
        </w:rPr>
      </w:r>
    </w:p>
    <w:sectPr>
      <w:headerReference r:id="rId5" w:type="default"/>
      <w:pgSz w:h="15840" w:w="12240"/>
      <w:pgMar w:bottom="720" w:top="720" w:left="1584" w:right="1727.999999999999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 6</w:t>
      <w:tab/>
      <w:tab/>
      <w:tab/>
      <w:t xml:space="preserve">Name:</w:t>
      <w:tab/>
      <w:tab/>
      <w:tab/>
      <w:tab/>
      <w:tab/>
      <w:t xml:space="preserve">           Date:</w:t>
      <w:tab/>
      <w:tab/>
      <w:t xml:space="preserve">       Hour: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