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36"/>
          <w:szCs w:val="36"/>
          <w:u w:val="single"/>
          <w:rtl w:val="0"/>
        </w:rPr>
        <w:t xml:space="preserve">Unit Two: Timelines and Sources Vocab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Using the sentences in the Vocab Stations complete the following boxes for each vocabulary word. The number in the box matches with the number of the station.</w:t>
      </w: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rPr>
          <w:trHeight w:val="1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rPr>
          <w:trHeight w:val="2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2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4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6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8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10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12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rPr>
        <w:sz w:val="18"/>
        <w:szCs w:val="18"/>
      </w:rPr>
    </w:pPr>
    <w:r w:rsidDel="00000000" w:rsidR="00000000" w:rsidRPr="00000000">
      <w:rPr>
        <w:rFonts w:ascii="Roboto" w:cs="Roboto" w:eastAsia="Roboto" w:hAnsi="Roboto"/>
        <w:color w:val="222222"/>
        <w:sz w:val="18"/>
        <w:szCs w:val="18"/>
        <w:highlight w:val="white"/>
        <w:rtl w:val="0"/>
      </w:rPr>
      <w:t xml:space="preserve">© James C. Murphy, 2019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  <w:t xml:space="preserve">ISN pg. ______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5272537</wp:posOffset>
          </wp:positionH>
          <wp:positionV relativeFrom="paragraph">
            <wp:posOffset>-314324</wp:posOffset>
          </wp:positionV>
          <wp:extent cx="1833113" cy="4048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113" cy="404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