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6DB" w:rsidRPr="00165788" w:rsidRDefault="002856DB" w:rsidP="002856DB">
      <w:pPr>
        <w:rPr>
          <w:b/>
          <w:sz w:val="20"/>
          <w:szCs w:val="20"/>
        </w:rPr>
      </w:pPr>
      <w:r>
        <w:rPr>
          <w:sz w:val="20"/>
          <w:szCs w:val="20"/>
        </w:rPr>
        <w:t xml:space="preserve">  </w:t>
      </w:r>
      <w:r w:rsidRPr="00697F0B">
        <w:rPr>
          <w:b/>
          <w:sz w:val="20"/>
          <w:szCs w:val="20"/>
        </w:rPr>
        <w:t xml:space="preserve">Honors </w:t>
      </w:r>
      <w:r w:rsidRPr="00697F0B">
        <w:rPr>
          <w:b/>
          <w:i/>
          <w:sz w:val="20"/>
          <w:szCs w:val="20"/>
        </w:rPr>
        <w:t>Martian Chronicles</w:t>
      </w:r>
      <w:r w:rsidRPr="00697F0B">
        <w:rPr>
          <w:b/>
          <w:sz w:val="20"/>
          <w:szCs w:val="20"/>
        </w:rPr>
        <w:t xml:space="preserve"> Reading Inquiry</w:t>
      </w:r>
      <w:r>
        <w:rPr>
          <w:b/>
          <w:sz w:val="20"/>
          <w:szCs w:val="20"/>
        </w:rPr>
        <w:t xml:space="preserve">:  </w:t>
      </w:r>
      <w:r w:rsidRPr="00697F0B">
        <w:rPr>
          <w:sz w:val="20"/>
          <w:szCs w:val="20"/>
        </w:rPr>
        <w:t xml:space="preserve">For </w:t>
      </w:r>
      <w:r w:rsidRPr="00697F0B">
        <w:rPr>
          <w:sz w:val="20"/>
          <w:szCs w:val="20"/>
          <w:u w:val="single"/>
        </w:rPr>
        <w:t xml:space="preserve">each </w:t>
      </w:r>
      <w:r w:rsidRPr="00697F0B">
        <w:rPr>
          <w:sz w:val="20"/>
          <w:szCs w:val="20"/>
        </w:rPr>
        <w:t xml:space="preserve">chapter, find a golden line and write it MLA style (Bradbury 1).  Then provide a thorough explanation of the </w:t>
      </w:r>
      <w:r w:rsidRPr="00697F0B">
        <w:rPr>
          <w:b/>
          <w:sz w:val="20"/>
          <w:szCs w:val="20"/>
        </w:rPr>
        <w:t>significance of this line</w:t>
      </w:r>
      <w:r w:rsidRPr="00697F0B">
        <w:rPr>
          <w:sz w:val="20"/>
          <w:szCs w:val="20"/>
        </w:rPr>
        <w:t xml:space="preserve"> to the story.  In addition, your explanation should include a </w:t>
      </w:r>
      <w:r w:rsidRPr="00697F0B">
        <w:rPr>
          <w:b/>
          <w:sz w:val="20"/>
          <w:szCs w:val="20"/>
        </w:rPr>
        <w:t>connection</w:t>
      </w:r>
      <w:r w:rsidRPr="00697F0B">
        <w:rPr>
          <w:sz w:val="20"/>
          <w:szCs w:val="20"/>
        </w:rPr>
        <w:t xml:space="preserve"> to a </w:t>
      </w:r>
      <w:r w:rsidRPr="00697F0B">
        <w:rPr>
          <w:b/>
          <w:sz w:val="20"/>
          <w:szCs w:val="20"/>
        </w:rPr>
        <w:t xml:space="preserve">Bradbury theme (Progress of civilization, Negative consequences of colonization, Hubris of human achievement, Desire for freedom and opportunity, or </w:t>
      </w:r>
      <w:proofErr w:type="gramStart"/>
      <w:r w:rsidRPr="00697F0B">
        <w:rPr>
          <w:b/>
          <w:sz w:val="20"/>
          <w:szCs w:val="20"/>
        </w:rPr>
        <w:t>Nostalgic</w:t>
      </w:r>
      <w:proofErr w:type="gramEnd"/>
      <w:r w:rsidRPr="00697F0B">
        <w:rPr>
          <w:b/>
          <w:sz w:val="20"/>
          <w:szCs w:val="20"/>
        </w:rPr>
        <w:t xml:space="preserve"> view of the past)</w:t>
      </w:r>
      <w:r w:rsidRPr="00697F0B">
        <w:rPr>
          <w:sz w:val="20"/>
          <w:szCs w:val="20"/>
        </w:rPr>
        <w:t xml:space="preserve"> </w:t>
      </w:r>
      <w:r w:rsidRPr="00697F0B">
        <w:rPr>
          <w:b/>
          <w:sz w:val="20"/>
          <w:szCs w:val="20"/>
        </w:rPr>
        <w:t xml:space="preserve">as well as a connection to an issue or theme from </w:t>
      </w:r>
      <w:r w:rsidRPr="00697F0B">
        <w:rPr>
          <w:b/>
          <w:i/>
          <w:sz w:val="20"/>
          <w:szCs w:val="20"/>
        </w:rPr>
        <w:t>Fahrenheit 451</w:t>
      </w:r>
      <w:r w:rsidRPr="00697F0B">
        <w:rPr>
          <w:b/>
          <w:sz w:val="20"/>
          <w:szCs w:val="20"/>
        </w:rPr>
        <w:t>.</w:t>
      </w:r>
      <w:r w:rsidRPr="00697F0B">
        <w:rPr>
          <w:sz w:val="20"/>
          <w:szCs w:val="20"/>
        </w:rPr>
        <w:t xml:space="preserve"> Be specific and make sure your connection explains HOW or WHY. This will be collected at the end of each assigned reading and should be written on </w:t>
      </w:r>
      <w:r w:rsidRPr="00697F0B">
        <w:rPr>
          <w:b/>
          <w:sz w:val="20"/>
          <w:szCs w:val="20"/>
        </w:rPr>
        <w:t xml:space="preserve">loose leaf and in ink. </w:t>
      </w:r>
      <w:r w:rsidRPr="00697F0B">
        <w:rPr>
          <w:sz w:val="20"/>
          <w:szCs w:val="20"/>
        </w:rPr>
        <w:t>Separate each story by skipping a line.  The format</w:t>
      </w:r>
      <w:r>
        <w:rPr>
          <w:sz w:val="20"/>
          <w:szCs w:val="20"/>
        </w:rPr>
        <w:t xml:space="preserve"> is shown below. Read all of chunk 3: </w:t>
      </w:r>
      <w:r w:rsidRPr="002856DB">
        <w:rPr>
          <w:b/>
          <w:sz w:val="20"/>
          <w:szCs w:val="20"/>
        </w:rPr>
        <w:t>December 2001</w:t>
      </w:r>
      <w:r>
        <w:rPr>
          <w:b/>
          <w:sz w:val="20"/>
          <w:szCs w:val="20"/>
        </w:rPr>
        <w:t>”</w:t>
      </w:r>
      <w:r w:rsidRPr="002856DB">
        <w:rPr>
          <w:b/>
          <w:sz w:val="20"/>
          <w:szCs w:val="20"/>
        </w:rPr>
        <w:t xml:space="preserve"> The Green Morning</w:t>
      </w:r>
      <w:r>
        <w:rPr>
          <w:b/>
          <w:sz w:val="20"/>
          <w:szCs w:val="20"/>
        </w:rPr>
        <w:t>”</w:t>
      </w:r>
      <w:r w:rsidRPr="002856DB">
        <w:rPr>
          <w:b/>
          <w:sz w:val="20"/>
          <w:szCs w:val="20"/>
        </w:rPr>
        <w:t xml:space="preserve"> – 2004-05 </w:t>
      </w:r>
      <w:r>
        <w:rPr>
          <w:b/>
          <w:sz w:val="20"/>
          <w:szCs w:val="20"/>
        </w:rPr>
        <w:t>“</w:t>
      </w:r>
      <w:r w:rsidRPr="002856DB">
        <w:rPr>
          <w:b/>
          <w:sz w:val="20"/>
          <w:szCs w:val="20"/>
        </w:rPr>
        <w:t>The naming of names.</w:t>
      </w:r>
      <w:r>
        <w:rPr>
          <w:b/>
          <w:sz w:val="20"/>
          <w:szCs w:val="20"/>
        </w:rPr>
        <w:t>”</w:t>
      </w:r>
      <w:r>
        <w:rPr>
          <w:b/>
          <w:sz w:val="20"/>
          <w:szCs w:val="20"/>
        </w:rPr>
        <w:t xml:space="preserve"> </w:t>
      </w:r>
      <w:r>
        <w:rPr>
          <w:b/>
          <w:sz w:val="20"/>
          <w:szCs w:val="20"/>
        </w:rPr>
        <w:t>ANALYZE 3 STORIES TOTAL: “WAY UP IN THE MIDDLE OF THE AIR” and TWO MORE OF YOUR CHOOSING.</w:t>
      </w:r>
      <w:r>
        <w:rPr>
          <w:b/>
          <w:sz w:val="20"/>
          <w:szCs w:val="20"/>
        </w:rPr>
        <w:t xml:space="preserve"> </w:t>
      </w:r>
      <w:r w:rsidR="0063191F">
        <w:rPr>
          <w:b/>
          <w:sz w:val="20"/>
          <w:szCs w:val="20"/>
        </w:rPr>
        <w:t xml:space="preserve"> </w:t>
      </w:r>
      <w:r w:rsidR="0063191F">
        <w:rPr>
          <w:b/>
          <w:sz w:val="20"/>
          <w:szCs w:val="20"/>
          <w:u w:val="single"/>
        </w:rPr>
        <w:t>Use the following</w:t>
      </w:r>
      <w:bookmarkStart w:id="0" w:name="_GoBack"/>
      <w:bookmarkEnd w:id="0"/>
      <w:r w:rsidRPr="00697F0B">
        <w:rPr>
          <w:b/>
          <w:sz w:val="20"/>
          <w:szCs w:val="20"/>
          <w:u w:val="single"/>
        </w:rPr>
        <w:t xml:space="preserve"> </w:t>
      </w:r>
      <w:r>
        <w:rPr>
          <w:b/>
          <w:sz w:val="20"/>
          <w:szCs w:val="20"/>
          <w:u w:val="single"/>
        </w:rPr>
        <w:t>format for chunk 3</w:t>
      </w:r>
      <w:r>
        <w:rPr>
          <w:b/>
          <w:sz w:val="20"/>
          <w:szCs w:val="20"/>
          <w:u w:val="single"/>
        </w:rPr>
        <w:t xml:space="preserve">: </w:t>
      </w:r>
    </w:p>
    <w:p w:rsidR="002856DB" w:rsidRPr="00697F0B" w:rsidRDefault="002856DB" w:rsidP="002856DB">
      <w:pPr>
        <w:spacing w:line="240" w:lineRule="auto"/>
        <w:rPr>
          <w:b/>
          <w:sz w:val="20"/>
          <w:szCs w:val="20"/>
        </w:rPr>
      </w:pPr>
      <w:r>
        <w:rPr>
          <w:b/>
          <w:sz w:val="20"/>
          <w:szCs w:val="20"/>
        </w:rPr>
        <w:t xml:space="preserve">Format: </w:t>
      </w:r>
      <w:r w:rsidRPr="00697F0B">
        <w:rPr>
          <w:b/>
          <w:sz w:val="20"/>
          <w:szCs w:val="20"/>
        </w:rPr>
        <w:t>1. Title (highlighted):  “</w:t>
      </w:r>
      <w:r>
        <w:rPr>
          <w:b/>
          <w:sz w:val="20"/>
          <w:szCs w:val="20"/>
        </w:rPr>
        <w:t>April 2000: The Third Expedition</w:t>
      </w:r>
      <w:r w:rsidRPr="00697F0B">
        <w:rPr>
          <w:b/>
          <w:sz w:val="20"/>
          <w:szCs w:val="20"/>
        </w:rPr>
        <w:t>”</w:t>
      </w:r>
    </w:p>
    <w:p w:rsidR="002856DB" w:rsidRPr="00697F0B" w:rsidRDefault="002856DB" w:rsidP="002856DB">
      <w:pPr>
        <w:spacing w:line="240" w:lineRule="auto"/>
        <w:rPr>
          <w:b/>
          <w:sz w:val="20"/>
          <w:szCs w:val="20"/>
        </w:rPr>
      </w:pPr>
      <w:r w:rsidRPr="00697F0B">
        <w:rPr>
          <w:b/>
          <w:sz w:val="20"/>
          <w:szCs w:val="20"/>
        </w:rPr>
        <w:t xml:space="preserve">Golden line: “                                                 </w:t>
      </w:r>
      <w:r>
        <w:rPr>
          <w:b/>
          <w:sz w:val="20"/>
          <w:szCs w:val="20"/>
        </w:rPr>
        <w:t xml:space="preserve">                    “(Bradbury 35</w:t>
      </w:r>
      <w:r w:rsidRPr="00697F0B">
        <w:rPr>
          <w:b/>
          <w:sz w:val="20"/>
          <w:szCs w:val="20"/>
        </w:rPr>
        <w:t>).</w:t>
      </w:r>
    </w:p>
    <w:p w:rsidR="002856DB" w:rsidRPr="00697F0B" w:rsidRDefault="002856DB" w:rsidP="002856DB">
      <w:pPr>
        <w:spacing w:line="240" w:lineRule="auto"/>
        <w:rPr>
          <w:b/>
          <w:sz w:val="20"/>
          <w:szCs w:val="20"/>
        </w:rPr>
      </w:pPr>
      <w:r w:rsidRPr="00697F0B">
        <w:rPr>
          <w:b/>
          <w:sz w:val="20"/>
          <w:szCs w:val="20"/>
        </w:rPr>
        <w:t>Explanation:</w:t>
      </w:r>
    </w:p>
    <w:p w:rsidR="002856DB" w:rsidRPr="00697F0B" w:rsidRDefault="002856DB" w:rsidP="002856DB">
      <w:pPr>
        <w:spacing w:line="240" w:lineRule="auto"/>
        <w:rPr>
          <w:b/>
          <w:sz w:val="20"/>
          <w:szCs w:val="20"/>
        </w:rPr>
      </w:pPr>
      <w:r w:rsidRPr="00697F0B">
        <w:rPr>
          <w:b/>
          <w:sz w:val="20"/>
          <w:szCs w:val="20"/>
        </w:rPr>
        <w:t>Thematic connection:</w:t>
      </w:r>
    </w:p>
    <w:p w:rsidR="002856DB" w:rsidRDefault="002856DB" w:rsidP="002856DB">
      <w:pPr>
        <w:spacing w:line="240" w:lineRule="auto"/>
        <w:rPr>
          <w:b/>
          <w:sz w:val="20"/>
          <w:szCs w:val="20"/>
        </w:rPr>
      </w:pPr>
      <w:r w:rsidRPr="00697F0B">
        <w:rPr>
          <w:b/>
          <w:sz w:val="20"/>
          <w:szCs w:val="20"/>
        </w:rPr>
        <w:t xml:space="preserve">Connection to </w:t>
      </w:r>
      <w:r w:rsidRPr="00697F0B">
        <w:rPr>
          <w:b/>
          <w:i/>
          <w:sz w:val="20"/>
          <w:szCs w:val="20"/>
        </w:rPr>
        <w:t>Fahrenheit 451</w:t>
      </w:r>
      <w:r w:rsidRPr="00697F0B">
        <w:rPr>
          <w:b/>
          <w:sz w:val="20"/>
          <w:szCs w:val="20"/>
        </w:rPr>
        <w:t>and/ or “The Murderer”:</w:t>
      </w:r>
    </w:p>
    <w:p w:rsidR="002856DB" w:rsidRPr="00697F0B" w:rsidRDefault="002856DB" w:rsidP="002856DB">
      <w:pPr>
        <w:rPr>
          <w:b/>
          <w:sz w:val="20"/>
          <w:szCs w:val="20"/>
        </w:rPr>
      </w:pPr>
      <w:r w:rsidRPr="00697F0B">
        <w:rPr>
          <w:sz w:val="20"/>
          <w:szCs w:val="20"/>
        </w:rPr>
        <w:t>*In addition, you should be keeping track of characters and the gist of each story in your English notebook for use in class assignments, discussion, and quiz preparation.</w:t>
      </w:r>
    </w:p>
    <w:p w:rsidR="002856DB" w:rsidRPr="00697F0B" w:rsidRDefault="002856DB" w:rsidP="002856DB">
      <w:pPr>
        <w:rPr>
          <w:b/>
          <w:sz w:val="20"/>
          <w:szCs w:val="20"/>
          <w:u w:val="single"/>
        </w:rPr>
      </w:pPr>
      <w:r w:rsidRPr="00697F0B">
        <w:rPr>
          <w:b/>
          <w:sz w:val="20"/>
          <w:szCs w:val="20"/>
          <w:u w:val="single"/>
        </w:rPr>
        <w:t xml:space="preserve">Honors LA4 </w:t>
      </w:r>
      <w:r w:rsidRPr="00697F0B">
        <w:rPr>
          <w:b/>
          <w:i/>
          <w:sz w:val="20"/>
          <w:szCs w:val="20"/>
          <w:u w:val="single"/>
        </w:rPr>
        <w:t>Martian Chronicles</w:t>
      </w:r>
      <w:r w:rsidRPr="00697F0B">
        <w:rPr>
          <w:b/>
          <w:sz w:val="20"/>
          <w:szCs w:val="20"/>
          <w:u w:val="single"/>
        </w:rPr>
        <w:t xml:space="preserve"> Reading Inquiry Example </w:t>
      </w:r>
    </w:p>
    <w:p w:rsidR="002856DB" w:rsidRPr="00697F0B" w:rsidRDefault="002856DB" w:rsidP="002856DB">
      <w:pPr>
        <w:rPr>
          <w:sz w:val="20"/>
          <w:szCs w:val="20"/>
        </w:rPr>
      </w:pPr>
      <w:r w:rsidRPr="00697F0B">
        <w:rPr>
          <w:sz w:val="20"/>
          <w:szCs w:val="20"/>
        </w:rPr>
        <w:t xml:space="preserve">The following example is taken from Ray Bradbury's </w:t>
      </w:r>
      <w:r w:rsidRPr="00697F0B">
        <w:rPr>
          <w:i/>
          <w:sz w:val="20"/>
          <w:szCs w:val="20"/>
        </w:rPr>
        <w:t>Fahrenheit 451</w:t>
      </w:r>
      <w:r w:rsidRPr="00697F0B">
        <w:rPr>
          <w:sz w:val="20"/>
          <w:szCs w:val="20"/>
        </w:rPr>
        <w:t xml:space="preserve">.  It demonstrates a well thought out response with an insightful explanation and thematic connection to </w:t>
      </w:r>
      <w:r w:rsidRPr="00697F0B">
        <w:rPr>
          <w:i/>
          <w:sz w:val="20"/>
          <w:szCs w:val="20"/>
        </w:rPr>
        <w:t>The Murderer</w:t>
      </w:r>
      <w:r w:rsidRPr="00697F0B">
        <w:rPr>
          <w:sz w:val="20"/>
          <w:szCs w:val="20"/>
        </w:rPr>
        <w:t xml:space="preserve">.  </w:t>
      </w:r>
    </w:p>
    <w:p w:rsidR="002856DB" w:rsidRPr="00697F0B" w:rsidRDefault="002856DB" w:rsidP="002856DB">
      <w:pPr>
        <w:rPr>
          <w:sz w:val="20"/>
          <w:szCs w:val="20"/>
        </w:rPr>
      </w:pPr>
      <w:r w:rsidRPr="00697F0B">
        <w:rPr>
          <w:sz w:val="20"/>
          <w:szCs w:val="20"/>
        </w:rPr>
        <w:t xml:space="preserve">1.  </w:t>
      </w:r>
      <w:r w:rsidRPr="00697F0B">
        <w:rPr>
          <w:b/>
          <w:sz w:val="20"/>
          <w:szCs w:val="20"/>
        </w:rPr>
        <w:t>Title</w:t>
      </w:r>
      <w:r w:rsidRPr="00697F0B">
        <w:rPr>
          <w:sz w:val="20"/>
          <w:szCs w:val="20"/>
        </w:rPr>
        <w:t xml:space="preserve">:  </w:t>
      </w:r>
      <w:r w:rsidRPr="00697F0B">
        <w:rPr>
          <w:sz w:val="20"/>
          <w:szCs w:val="20"/>
          <w:highlight w:val="yellow"/>
        </w:rPr>
        <w:t>"The Sieve and the Sand"</w:t>
      </w:r>
    </w:p>
    <w:p w:rsidR="002856DB" w:rsidRPr="00697F0B" w:rsidRDefault="002856DB" w:rsidP="002856DB">
      <w:pPr>
        <w:rPr>
          <w:sz w:val="20"/>
          <w:szCs w:val="20"/>
        </w:rPr>
      </w:pPr>
      <w:r w:rsidRPr="00697F0B">
        <w:rPr>
          <w:sz w:val="20"/>
          <w:szCs w:val="20"/>
        </w:rPr>
        <w:t xml:space="preserve">2.  </w:t>
      </w:r>
      <w:r w:rsidRPr="00697F0B">
        <w:rPr>
          <w:b/>
          <w:sz w:val="20"/>
          <w:szCs w:val="20"/>
        </w:rPr>
        <w:t>Golden Line</w:t>
      </w:r>
      <w:r w:rsidRPr="00697F0B">
        <w:rPr>
          <w:sz w:val="20"/>
          <w:szCs w:val="20"/>
        </w:rPr>
        <w:t>:  "It (</w:t>
      </w:r>
      <w:proofErr w:type="gramStart"/>
      <w:r w:rsidRPr="00697F0B">
        <w:rPr>
          <w:sz w:val="20"/>
          <w:szCs w:val="20"/>
        </w:rPr>
        <w:t>television )</w:t>
      </w:r>
      <w:proofErr w:type="gramEnd"/>
      <w:r w:rsidRPr="00697F0B">
        <w:rPr>
          <w:sz w:val="20"/>
          <w:szCs w:val="20"/>
        </w:rPr>
        <w:t xml:space="preserve"> rushes you on so quickly to its own conclusions your mind doesn't have time to protest, 'What nonsense!' </w:t>
      </w:r>
      <w:proofErr w:type="gramStart"/>
      <w:r w:rsidRPr="00697F0B">
        <w:rPr>
          <w:sz w:val="20"/>
          <w:szCs w:val="20"/>
        </w:rPr>
        <w:t>" (</w:t>
      </w:r>
      <w:proofErr w:type="gramEnd"/>
      <w:r w:rsidRPr="00697F0B">
        <w:rPr>
          <w:sz w:val="20"/>
          <w:szCs w:val="20"/>
        </w:rPr>
        <w:t xml:space="preserve">Bradbury 80).  </w:t>
      </w:r>
    </w:p>
    <w:p w:rsidR="002856DB" w:rsidRPr="00697F0B" w:rsidRDefault="002856DB" w:rsidP="002856DB">
      <w:pPr>
        <w:rPr>
          <w:sz w:val="20"/>
          <w:szCs w:val="20"/>
        </w:rPr>
      </w:pPr>
      <w:r w:rsidRPr="00697F0B">
        <w:rPr>
          <w:sz w:val="20"/>
          <w:szCs w:val="20"/>
        </w:rPr>
        <w:t>3</w:t>
      </w:r>
      <w:r w:rsidRPr="00697F0B">
        <w:rPr>
          <w:b/>
          <w:sz w:val="20"/>
          <w:szCs w:val="20"/>
        </w:rPr>
        <w:t>.  Explanation</w:t>
      </w:r>
      <w:r w:rsidRPr="00697F0B">
        <w:rPr>
          <w:sz w:val="20"/>
          <w:szCs w:val="20"/>
        </w:rPr>
        <w:t xml:space="preserve">:  This line is significant to the story because it represents a real turning point for Guy Montag in his quest to figure out what is wrong with society.  He is really trying hard to understand why books are so much more useful than TV.  Guy is intent on learning from and listening to Faber although he is still really scared of being punished.  </w:t>
      </w:r>
      <w:proofErr w:type="gramStart"/>
      <w:r w:rsidRPr="00697F0B">
        <w:rPr>
          <w:sz w:val="20"/>
          <w:szCs w:val="20"/>
        </w:rPr>
        <w:t>Maybe this time he'll be brave enough to let the information sink in and take action.</w:t>
      </w:r>
      <w:proofErr w:type="gramEnd"/>
      <w:r w:rsidRPr="00697F0B">
        <w:rPr>
          <w:sz w:val="20"/>
          <w:szCs w:val="20"/>
        </w:rPr>
        <w:t xml:space="preserve">  (</w:t>
      </w:r>
      <w:proofErr w:type="gramStart"/>
      <w:r w:rsidRPr="00697F0B">
        <w:rPr>
          <w:i/>
          <w:sz w:val="20"/>
          <w:szCs w:val="20"/>
        </w:rPr>
        <w:t>notice</w:t>
      </w:r>
      <w:proofErr w:type="gramEnd"/>
      <w:r w:rsidRPr="00697F0B">
        <w:rPr>
          <w:i/>
          <w:sz w:val="20"/>
          <w:szCs w:val="20"/>
        </w:rPr>
        <w:t xml:space="preserve"> the explanation is insightful reasoning, not a restatement of the obvious</w:t>
      </w:r>
      <w:r w:rsidRPr="00697F0B">
        <w:rPr>
          <w:sz w:val="20"/>
          <w:szCs w:val="20"/>
        </w:rPr>
        <w:t>)</w:t>
      </w:r>
    </w:p>
    <w:p w:rsidR="002856DB" w:rsidRPr="00697F0B" w:rsidRDefault="002856DB" w:rsidP="002856DB">
      <w:pPr>
        <w:rPr>
          <w:sz w:val="20"/>
          <w:szCs w:val="20"/>
        </w:rPr>
      </w:pPr>
      <w:r w:rsidRPr="00697F0B">
        <w:rPr>
          <w:sz w:val="20"/>
          <w:szCs w:val="20"/>
        </w:rPr>
        <w:t xml:space="preserve">4.  </w:t>
      </w:r>
      <w:r w:rsidRPr="00697F0B">
        <w:rPr>
          <w:b/>
          <w:sz w:val="20"/>
          <w:szCs w:val="20"/>
        </w:rPr>
        <w:t>Thematic Connection</w:t>
      </w:r>
      <w:r w:rsidRPr="00697F0B">
        <w:rPr>
          <w:sz w:val="20"/>
          <w:szCs w:val="20"/>
        </w:rPr>
        <w:t xml:space="preserve">:  This connects to Bradbury's theme of </w:t>
      </w:r>
      <w:r w:rsidRPr="00697F0B">
        <w:rPr>
          <w:sz w:val="20"/>
          <w:szCs w:val="20"/>
          <w:u w:val="single"/>
        </w:rPr>
        <w:t>knowledge versus ignorance</w:t>
      </w:r>
      <w:r w:rsidRPr="00697F0B">
        <w:rPr>
          <w:sz w:val="20"/>
          <w:szCs w:val="20"/>
        </w:rPr>
        <w:t xml:space="preserve"> because Montag is willing to risk his very life to try and give meaning to it.  The fact that he has to approach Faber in secret and go against the government show the reader that without real meaning life just becomes a series of repeated motions that mean very little.  The line also makes one reflect on Mildred and her brainless behavior when she’s watching the walls.</w:t>
      </w:r>
    </w:p>
    <w:p w:rsidR="008B70F8" w:rsidRPr="002856DB" w:rsidRDefault="002856DB">
      <w:pPr>
        <w:rPr>
          <w:sz w:val="20"/>
          <w:szCs w:val="20"/>
        </w:rPr>
      </w:pPr>
      <w:r w:rsidRPr="00697F0B">
        <w:rPr>
          <w:sz w:val="20"/>
          <w:szCs w:val="20"/>
        </w:rPr>
        <w:t xml:space="preserve">5. </w:t>
      </w:r>
      <w:r w:rsidRPr="00697F0B">
        <w:rPr>
          <w:b/>
          <w:sz w:val="20"/>
          <w:szCs w:val="20"/>
        </w:rPr>
        <w:t>Connection to "The Murderer"</w:t>
      </w:r>
      <w:r w:rsidRPr="00697F0B">
        <w:rPr>
          <w:sz w:val="20"/>
          <w:szCs w:val="20"/>
        </w:rPr>
        <w:t xml:space="preserve">:  In the short story, Brock is grappling a similar problem.   He, like Guy, cannot live with the constant white noise and buzz of technology.  Brock desires time to just "be."  He proposes it's everyone's right to control his or her own thinking and to ponder in peace and quiet.  Both men see the increase in technology as responsible for robbing man of </w:t>
      </w:r>
      <w:proofErr w:type="gramStart"/>
      <w:r w:rsidRPr="00697F0B">
        <w:rPr>
          <w:sz w:val="20"/>
          <w:szCs w:val="20"/>
        </w:rPr>
        <w:t>himself</w:t>
      </w:r>
      <w:proofErr w:type="gramEnd"/>
      <w:r w:rsidRPr="00697F0B">
        <w:rPr>
          <w:sz w:val="20"/>
          <w:szCs w:val="20"/>
        </w:rPr>
        <w:t xml:space="preserve">.  They also see a plot from the higher ups, feeling the robbing is purposeful to make men stupid and thus give their power of thinking away to authority.  </w:t>
      </w:r>
    </w:p>
    <w:sectPr w:rsidR="008B70F8" w:rsidRPr="00285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DB"/>
    <w:rsid w:val="002856DB"/>
    <w:rsid w:val="0063191F"/>
    <w:rsid w:val="008B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2019-02-13T13:48:00Z</dcterms:created>
  <dcterms:modified xsi:type="dcterms:W3CDTF">2019-02-13T13:54:00Z</dcterms:modified>
</cp:coreProperties>
</file>