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u w:val="single"/>
          <w:rtl w:val="0"/>
        </w:rPr>
        <w:t xml:space="preserve">Chapter 5 Microeconomics Prices and Markets (Supply )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u w:val="single"/>
          <w:rtl w:val="0"/>
        </w:rPr>
        <w:t xml:space="preserve">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Section 1  What Is Supply? Factors Affecting Supply  &amp; Elasticity of  Supply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define the concept of  supply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read a supply schedule and supply curve to better understand the concept of demand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list and describe the factors that can contribute to a change in supply.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how the response to a change in price varies for different products.  (how qty supplied  responds to a change in price)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Section 2 The Theory of Production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understand how a change in the variable input called “labor” results in changes in output.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understand that the production functions illustrates how output changes when a variable input such as labor changes. 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describe the stages of production and how they help companies determine the most profitable number of workers to hire.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i w:val="1"/>
          <w:sz w:val="28"/>
          <w:szCs w:val="28"/>
          <w:rtl w:val="0"/>
        </w:rPr>
        <w:t xml:space="preserve">Section 3 Cost, Revenue, and Profit Maximization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understand how businesses analyze fixed , variable total, and marginal costs to make production decisions.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understand how fixed and variable costs affect the way a business operates. 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